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023B38">
            <w:pPr>
              <w:tabs>
                <w:tab w:val="left" w:pos="4606"/>
              </w:tabs>
              <w:ind w:right="353"/>
              <w:rPr>
                <w:rFonts w:eastAsia="Times New Roman"/>
                <w:szCs w:val="24"/>
                <w:highlight w:val="yellow"/>
                <w:lang w:eastAsia="ru-RU"/>
              </w:rPr>
            </w:pPr>
          </w:p>
        </w:tc>
        <w:tc>
          <w:tcPr>
            <w:tcW w:w="5103" w:type="dxa"/>
          </w:tcPr>
          <w:p w:rsidR="00C72132" w:rsidRPr="00450C44" w:rsidRDefault="00C72132" w:rsidP="00023B38">
            <w:pPr>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023B38">
            <w:pPr>
              <w:ind w:right="-72"/>
              <w:rPr>
                <w:rFonts w:eastAsia="Times New Roman"/>
                <w:szCs w:val="24"/>
                <w:highlight w:val="yellow"/>
                <w:lang w:eastAsia="ru-RU"/>
              </w:rPr>
            </w:pPr>
          </w:p>
        </w:tc>
        <w:tc>
          <w:tcPr>
            <w:tcW w:w="5103" w:type="dxa"/>
          </w:tcPr>
          <w:p w:rsidR="00C72132" w:rsidRPr="00450C44" w:rsidRDefault="00C72132" w:rsidP="00023B38">
            <w:pPr>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023B38">
            <w:pPr>
              <w:rPr>
                <w:rFonts w:eastAsia="Times New Roman"/>
                <w:szCs w:val="24"/>
                <w:highlight w:val="yellow"/>
                <w:lang w:eastAsia="ru-RU"/>
              </w:rPr>
            </w:pPr>
          </w:p>
        </w:tc>
        <w:tc>
          <w:tcPr>
            <w:tcW w:w="5103" w:type="dxa"/>
          </w:tcPr>
          <w:p w:rsidR="00C72132" w:rsidRPr="00450C44" w:rsidRDefault="00023B38" w:rsidP="00023B38">
            <w:pPr>
              <w:jc w:val="right"/>
              <w:rPr>
                <w:rFonts w:eastAsia="Times New Roman"/>
                <w:szCs w:val="24"/>
                <w:lang w:eastAsia="ru-RU"/>
              </w:rPr>
            </w:pPr>
            <w:r>
              <w:rPr>
                <w:rFonts w:eastAsia="Times New Roman"/>
                <w:szCs w:val="24"/>
                <w:lang w:eastAsia="ru-RU"/>
              </w:rPr>
              <w:t xml:space="preserve">Протокол </w:t>
            </w:r>
            <w:bookmarkStart w:id="0" w:name="_GoBack"/>
            <w:bookmarkEnd w:id="0"/>
            <w:r>
              <w:rPr>
                <w:rFonts w:eastAsia="Times New Roman"/>
                <w:szCs w:val="24"/>
                <w:lang w:eastAsia="ru-RU"/>
              </w:rPr>
              <w:t>№ 141</w:t>
            </w:r>
          </w:p>
        </w:tc>
      </w:tr>
      <w:tr w:rsidR="00C72132" w:rsidRPr="00450C44" w:rsidTr="00C72132">
        <w:trPr>
          <w:trHeight w:val="391"/>
          <w:jc w:val="center"/>
        </w:trPr>
        <w:tc>
          <w:tcPr>
            <w:tcW w:w="5103" w:type="dxa"/>
          </w:tcPr>
          <w:p w:rsidR="00C72132" w:rsidRPr="00450C44" w:rsidRDefault="00C72132" w:rsidP="00023B38">
            <w:pPr>
              <w:rPr>
                <w:rFonts w:eastAsia="Times New Roman"/>
                <w:szCs w:val="24"/>
                <w:highlight w:val="yellow"/>
                <w:lang w:eastAsia="ru-RU"/>
              </w:rPr>
            </w:pPr>
          </w:p>
        </w:tc>
        <w:tc>
          <w:tcPr>
            <w:tcW w:w="5103" w:type="dxa"/>
          </w:tcPr>
          <w:p w:rsidR="00C72132" w:rsidRPr="00450C44" w:rsidRDefault="00023B38" w:rsidP="00023B38">
            <w:pPr>
              <w:jc w:val="right"/>
              <w:rPr>
                <w:rFonts w:eastAsia="Times New Roman"/>
                <w:szCs w:val="24"/>
                <w:lang w:eastAsia="ru-RU"/>
              </w:rPr>
            </w:pPr>
            <w:r>
              <w:rPr>
                <w:rFonts w:eastAsia="Times New Roman"/>
                <w:szCs w:val="24"/>
                <w:lang w:eastAsia="ru-RU"/>
              </w:rPr>
              <w:t>«19» июля 2018</w:t>
            </w:r>
            <w:r w:rsidR="00C72132" w:rsidRPr="00450C44">
              <w:rPr>
                <w:rFonts w:eastAsia="Times New Roman"/>
                <w:szCs w:val="24"/>
                <w:lang w:eastAsia="ru-RU"/>
              </w:rPr>
              <w:t xml:space="preserve"> г.</w:t>
            </w:r>
          </w:p>
        </w:tc>
      </w:tr>
    </w:tbl>
    <w:p w:rsidR="00C72132" w:rsidRPr="00D024C5" w:rsidRDefault="00C72132" w:rsidP="00C72132">
      <w:pPr>
        <w:ind w:firstLine="708"/>
        <w:jc w:val="both"/>
      </w:pPr>
      <w:r>
        <w:t>П</w:t>
      </w:r>
      <w:r w:rsidR="00023B38">
        <w:t>ДО № 340-CC-2018</w:t>
      </w:r>
    </w:p>
    <w:p w:rsidR="00C72132" w:rsidRPr="00D024C5" w:rsidRDefault="00023B38" w:rsidP="00C72132">
      <w:pPr>
        <w:ind w:firstLine="708"/>
        <w:jc w:val="both"/>
      </w:pPr>
      <w:proofErr w:type="gramStart"/>
      <w:r>
        <w:t>От  «</w:t>
      </w:r>
      <w:proofErr w:type="gramEnd"/>
      <w:r>
        <w:t xml:space="preserve">25» </w:t>
      </w:r>
      <w:r w:rsidR="00C72132" w:rsidRPr="00D024C5">
        <w:t xml:space="preserve"> </w:t>
      </w:r>
      <w:r>
        <w:t>июля 2018</w:t>
      </w:r>
      <w:r w:rsidR="00C72132"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957515" w:rsidRPr="00957515">
        <w:rPr>
          <w:rFonts w:eastAsia="Calibri"/>
          <w:b/>
          <w:szCs w:val="28"/>
        </w:rPr>
        <w:t xml:space="preserve">цеолита </w:t>
      </w:r>
      <w:proofErr w:type="spellStart"/>
      <w:r w:rsidR="00957515" w:rsidRPr="00957515">
        <w:rPr>
          <w:rFonts w:eastAsia="Calibri"/>
          <w:b/>
          <w:szCs w:val="28"/>
          <w:lang w:val="en-US"/>
        </w:rPr>
        <w:t>NaX</w:t>
      </w:r>
      <w:proofErr w:type="spellEnd"/>
      <w:r w:rsidR="00957515" w:rsidRPr="00957515">
        <w:rPr>
          <w:rFonts w:eastAsia="Calibri"/>
          <w:b/>
          <w:szCs w:val="28"/>
        </w:rPr>
        <w:t>, шара фарфорового, крошки кварцевой</w:t>
      </w:r>
      <w:r w:rsidRPr="00B2793B">
        <w:rPr>
          <w:b/>
          <w:sz w:val="18"/>
          <w:szCs w:val="28"/>
        </w:rPr>
        <w:t>.</w:t>
      </w:r>
    </w:p>
    <w:p w:rsidR="00C72132" w:rsidRPr="00980CDC" w:rsidRDefault="00C72132" w:rsidP="00C72132">
      <w:pPr>
        <w:ind w:firstLine="708"/>
        <w:jc w:val="both"/>
        <w:rPr>
          <w:sz w:val="23"/>
          <w:szCs w:val="23"/>
        </w:rPr>
      </w:pPr>
      <w:r w:rsidRPr="00980CDC">
        <w:rPr>
          <w:sz w:val="23"/>
          <w:szCs w:val="23"/>
        </w:rPr>
        <w:t>По результатам рассмотрения предложений О</w:t>
      </w:r>
      <w:r w:rsidR="00023B38">
        <w:rPr>
          <w:sz w:val="23"/>
          <w:szCs w:val="23"/>
        </w:rPr>
        <w:t xml:space="preserve">бщество определит контрагента, </w:t>
      </w:r>
      <w:r w:rsidRPr="00980CDC">
        <w:rPr>
          <w:sz w:val="23"/>
          <w:szCs w:val="23"/>
        </w:rPr>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980CDC">
        <w:rPr>
          <w:sz w:val="23"/>
          <w:szCs w:val="23"/>
        </w:rPr>
        <w:lastRenderedPageBreak/>
        <w:t>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6E71B3">
        <w:t>0</w:t>
      </w:r>
      <w:r w:rsidRPr="00206F9E">
        <w:t>.</w:t>
      </w:r>
      <w:r w:rsidR="0007509F">
        <w:t>0</w:t>
      </w:r>
      <w:r w:rsidR="006E71B3">
        <w:t>9</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 xml:space="preserve">предложенный </w:t>
      </w:r>
      <w:r w:rsidR="00E0081B">
        <w:t>Обществом</w:t>
      </w:r>
      <w:r>
        <w:t>,</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xml:space="preserve">, </w:t>
      </w:r>
      <w:r w:rsidRPr="00D024C5">
        <w:t xml:space="preserve">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lastRenderedPageBreak/>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w:t>
      </w:r>
      <w:r w:rsidR="00023B38">
        <w:rPr>
          <w:rFonts w:eastAsia="Times New Roman" w:cs="Arial"/>
          <w:lang w:eastAsia="ru-RU"/>
        </w:rPr>
        <w:t xml:space="preserve"> (в формате MS </w:t>
      </w:r>
      <w:proofErr w:type="spellStart"/>
      <w:r w:rsidR="00023B38">
        <w:rPr>
          <w:rFonts w:eastAsia="Times New Roman" w:cs="Arial"/>
          <w:lang w:eastAsia="ru-RU"/>
        </w:rPr>
        <w:t>Excel</w:t>
      </w:r>
      <w:proofErr w:type="spellEnd"/>
      <w:r w:rsidR="00023B38">
        <w:rPr>
          <w:rFonts w:eastAsia="Times New Roman" w:cs="Arial"/>
          <w:lang w:eastAsia="ru-RU"/>
        </w:rPr>
        <w:t xml:space="preserve">, MS </w:t>
      </w:r>
      <w:proofErr w:type="spellStart"/>
      <w:r w:rsidR="00023B38">
        <w:rPr>
          <w:rFonts w:eastAsia="Times New Roman" w:cs="Arial"/>
          <w:lang w:eastAsia="ru-RU"/>
        </w:rPr>
        <w:t>Word</w:t>
      </w:r>
      <w:proofErr w:type="spellEnd"/>
      <w:r w:rsidR="00023B38">
        <w:rPr>
          <w:rFonts w:eastAsia="Times New Roman" w:cs="Arial"/>
          <w:lang w:eastAsia="ru-RU"/>
        </w:rPr>
        <w:t xml:space="preserve">) </w:t>
      </w:r>
      <w:r w:rsidRPr="000A137A">
        <w:rPr>
          <w:rFonts w:eastAsia="Times New Roman" w:cs="Arial"/>
          <w:b/>
          <w:lang w:eastAsia="ru-RU"/>
        </w:rPr>
        <w:t>Форм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023B38" w:rsidP="00C72132">
      <w:pPr>
        <w:spacing w:line="360" w:lineRule="auto"/>
        <w:ind w:firstLine="720"/>
        <w:rPr>
          <w:rFonts w:eastAsia="Times New Roman"/>
          <w:b/>
          <w:szCs w:val="24"/>
          <w:lang w:eastAsia="ru-RU"/>
        </w:rPr>
      </w:pPr>
      <w:r>
        <w:rPr>
          <w:rFonts w:eastAsia="Times New Roman"/>
          <w:b/>
          <w:szCs w:val="24"/>
          <w:lang w:eastAsia="ru-RU"/>
        </w:rPr>
        <w:t>Начало приема оферт – «26» июля</w:t>
      </w:r>
      <w:r w:rsidR="00C72132" w:rsidRPr="00290B80">
        <w:rPr>
          <w:rFonts w:eastAsia="Times New Roman"/>
          <w:b/>
          <w:szCs w:val="24"/>
          <w:lang w:eastAsia="ru-RU"/>
        </w:rPr>
        <w:t xml:space="preserve"> 201</w:t>
      </w:r>
      <w:r w:rsidR="00C72132">
        <w:rPr>
          <w:rFonts w:eastAsia="Times New Roman"/>
          <w:b/>
          <w:szCs w:val="24"/>
          <w:lang w:eastAsia="ru-RU"/>
        </w:rPr>
        <w:t>8</w:t>
      </w:r>
      <w:r w:rsidR="00C72132" w:rsidRPr="00290B80">
        <w:rPr>
          <w:rFonts w:eastAsia="Times New Roman"/>
          <w:b/>
          <w:szCs w:val="24"/>
          <w:lang w:eastAsia="ru-RU"/>
        </w:rPr>
        <w:t xml:space="preserve"> года.</w:t>
      </w:r>
    </w:p>
    <w:p w:rsidR="00C72132" w:rsidRPr="00290B80" w:rsidRDefault="00023B38" w:rsidP="00C72132">
      <w:pPr>
        <w:spacing w:line="360" w:lineRule="auto"/>
        <w:ind w:firstLine="720"/>
        <w:rPr>
          <w:rFonts w:eastAsia="Times New Roman"/>
          <w:b/>
          <w:szCs w:val="24"/>
          <w:lang w:eastAsia="ru-RU"/>
        </w:rPr>
      </w:pPr>
      <w:r>
        <w:rPr>
          <w:rFonts w:eastAsia="Times New Roman"/>
          <w:b/>
          <w:szCs w:val="24"/>
          <w:lang w:eastAsia="ru-RU"/>
        </w:rPr>
        <w:t>Окончание приема оферт – 15:00 «15» августа</w:t>
      </w:r>
      <w:r w:rsidR="00C72132" w:rsidRPr="00290B80">
        <w:rPr>
          <w:rFonts w:eastAsia="Times New Roman"/>
          <w:b/>
          <w:szCs w:val="24"/>
          <w:lang w:eastAsia="ru-RU"/>
        </w:rPr>
        <w:t xml:space="preserve"> 201</w:t>
      </w:r>
      <w:r w:rsidR="00C72132">
        <w:rPr>
          <w:rFonts w:eastAsia="Times New Roman"/>
          <w:b/>
          <w:szCs w:val="24"/>
          <w:lang w:eastAsia="ru-RU"/>
        </w:rPr>
        <w:t>8</w:t>
      </w:r>
      <w:r w:rsidR="00C72132"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lastRenderedPageBreak/>
        <w:t>Срок для определения победителя – до «</w:t>
      </w:r>
      <w:r>
        <w:rPr>
          <w:rFonts w:eastAsia="Times New Roman"/>
          <w:b/>
          <w:szCs w:val="24"/>
          <w:lang w:eastAsia="ru-RU"/>
        </w:rPr>
        <w:t>3</w:t>
      </w:r>
      <w:r w:rsidR="006E71B3">
        <w:rPr>
          <w:rFonts w:eastAsia="Times New Roman"/>
          <w:b/>
          <w:szCs w:val="24"/>
          <w:lang w:eastAsia="ru-RU"/>
        </w:rPr>
        <w:t>0</w:t>
      </w:r>
      <w:r w:rsidRPr="00290B80">
        <w:rPr>
          <w:rFonts w:eastAsia="Times New Roman"/>
          <w:b/>
          <w:szCs w:val="24"/>
          <w:lang w:eastAsia="ru-RU"/>
        </w:rPr>
        <w:t xml:space="preserve">» </w:t>
      </w:r>
      <w:r w:rsidR="006E71B3">
        <w:rPr>
          <w:rFonts w:eastAsia="Times New Roman"/>
          <w:b/>
          <w:szCs w:val="24"/>
          <w:lang w:eastAsia="ru-RU"/>
        </w:rPr>
        <w:t>сентябр</w:t>
      </w:r>
      <w:r w:rsidR="00CE4D5D">
        <w:rPr>
          <w:rFonts w:eastAsia="Times New Roman"/>
          <w:b/>
          <w:szCs w:val="24"/>
          <w:lang w:eastAsia="ru-RU"/>
        </w:rPr>
        <w:t>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w:t>
      </w:r>
      <w:r w:rsidR="00023B38">
        <w:rPr>
          <w:rFonts w:eastAsia="Times New Roman"/>
          <w:szCs w:val="24"/>
          <w:lang w:eastAsia="ru-RU"/>
        </w:rPr>
        <w:t>ения, полученные не позднее «10» августа</w:t>
      </w:r>
      <w:r w:rsidRPr="00290B80">
        <w:rPr>
          <w:rFonts w:eastAsia="Times New Roman"/>
          <w:szCs w:val="24"/>
          <w:lang w:eastAsia="ru-RU"/>
        </w:rPr>
        <w:t xml:space="preserve"> </w:t>
      </w:r>
      <w:proofErr w:type="gramStart"/>
      <w:r w:rsidRPr="00290B80">
        <w:rPr>
          <w:rFonts w:eastAsia="Times New Roman"/>
          <w:szCs w:val="24"/>
          <w:lang w:eastAsia="ru-RU"/>
        </w:rPr>
        <w:t>201</w:t>
      </w:r>
      <w:r>
        <w:rPr>
          <w:rFonts w:eastAsia="Times New Roman"/>
          <w:szCs w:val="24"/>
          <w:lang w:eastAsia="ru-RU"/>
        </w:rPr>
        <w:t xml:space="preserve"> </w:t>
      </w:r>
      <w:r w:rsidRPr="00290B80">
        <w:rPr>
          <w:rFonts w:eastAsia="Times New Roman"/>
          <w:szCs w:val="24"/>
          <w:lang w:eastAsia="ru-RU"/>
        </w:rPr>
        <w:t xml:space="preserve"> года</w:t>
      </w:r>
      <w:proofErr w:type="gramEnd"/>
      <w:r w:rsidRPr="00290B80">
        <w:rPr>
          <w:rFonts w:eastAsia="Times New Roman"/>
          <w:szCs w:val="24"/>
          <w:lang w:eastAsia="ru-RU"/>
        </w:rPr>
        <w:t>. Ответ с разъяснениями вместе с указанием сути поступившего запроса одновременно будет доведен до сведения всех полу</w:t>
      </w:r>
      <w:r w:rsidR="00023B38">
        <w:rPr>
          <w:rFonts w:eastAsia="Times New Roman"/>
          <w:szCs w:val="24"/>
          <w:lang w:eastAsia="ru-RU"/>
        </w:rPr>
        <w:t xml:space="preserve">чателей настоящего предложения </w:t>
      </w:r>
      <w:r w:rsidRPr="00290B80">
        <w:rPr>
          <w:rFonts w:eastAsia="Times New Roman"/>
          <w:szCs w:val="24"/>
          <w:lang w:eastAsia="ru-RU"/>
        </w:rPr>
        <w:t>без указания источника поступления.</w:t>
      </w:r>
    </w:p>
    <w:p w:rsidR="00023B38" w:rsidRDefault="00023B38" w:rsidP="00C72132">
      <w:pPr>
        <w:ind w:firstLine="708"/>
        <w:jc w:val="both"/>
      </w:pPr>
    </w:p>
    <w:p w:rsidR="00C72132" w:rsidRPr="00BB45CB" w:rsidRDefault="00C72132" w:rsidP="00C72132">
      <w:pPr>
        <w:ind w:firstLine="708"/>
        <w:jc w:val="both"/>
      </w:pPr>
      <w:r w:rsidRPr="00BB45CB">
        <w:t>По вопросам технического характера обращаться:</w:t>
      </w:r>
    </w:p>
    <w:p w:rsidR="00023B38" w:rsidRDefault="00C72132" w:rsidP="00C72132">
      <w:pPr>
        <w:ind w:firstLine="709"/>
        <w:jc w:val="both"/>
        <w:rPr>
          <w:rFonts w:eastAsia="Times New Roman"/>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00023B38">
        <w:rPr>
          <w:rFonts w:eastAsia="Times New Roman"/>
          <w:szCs w:val="24"/>
          <w:lang w:val="en-US" w:eastAsia="ru-RU"/>
        </w:rPr>
        <w:t xml:space="preserve">(4852) </w:t>
      </w:r>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p>
    <w:p w:rsidR="00023B38" w:rsidRDefault="00C72132" w:rsidP="00C72132">
      <w:pPr>
        <w:ind w:firstLine="709"/>
        <w:jc w:val="both"/>
        <w:rPr>
          <w:rFonts w:eastAsia="Times New Roman"/>
          <w:szCs w:val="24"/>
          <w:lang w:val="en-US" w:eastAsia="ru-RU"/>
        </w:rPr>
      </w:pPr>
      <w:proofErr w:type="gramStart"/>
      <w:r w:rsidRPr="00BB45CB">
        <w:rPr>
          <w:rFonts w:eastAsia="Times New Roman"/>
          <w:szCs w:val="24"/>
          <w:lang w:eastAsia="ru-RU"/>
        </w:rPr>
        <w:t>факс</w:t>
      </w:r>
      <w:proofErr w:type="gramEnd"/>
      <w:r w:rsidR="00023B38">
        <w:rPr>
          <w:rFonts w:eastAsia="Times New Roman"/>
          <w:szCs w:val="24"/>
          <w:lang w:val="en-US" w:eastAsia="ru-RU"/>
        </w:rPr>
        <w:t xml:space="preserve"> (4852)-47-29-00</w:t>
      </w:r>
    </w:p>
    <w:p w:rsidR="00C72132" w:rsidRPr="00BB45CB" w:rsidRDefault="00C72132" w:rsidP="00C72132">
      <w:pPr>
        <w:ind w:firstLine="709"/>
        <w:jc w:val="both"/>
        <w:rPr>
          <w:szCs w:val="24"/>
          <w:lang w:val="en-US" w:eastAsia="ru-RU"/>
        </w:rPr>
      </w:pPr>
      <w:r w:rsidRPr="00BB45CB">
        <w:rPr>
          <w:rFonts w:eastAsia="Times New Roman"/>
          <w:szCs w:val="24"/>
          <w:lang w:val="en-US" w:eastAsia="ru-RU"/>
        </w:rPr>
        <w:t xml:space="preserve"> </w:t>
      </w:r>
      <w:proofErr w:type="gramStart"/>
      <w:r w:rsidRPr="00BB45CB">
        <w:rPr>
          <w:rFonts w:eastAsia="Times New Roman"/>
          <w:szCs w:val="24"/>
          <w:lang w:val="en-US" w:eastAsia="ru-RU"/>
        </w:rPr>
        <w:t>e-mail</w:t>
      </w:r>
      <w:proofErr w:type="gramEnd"/>
      <w:r w:rsidRPr="00BB45CB">
        <w:rPr>
          <w:rFonts w:eastAsia="Times New Roman"/>
          <w:szCs w:val="24"/>
          <w:lang w:val="en-US" w:eastAsia="ru-RU"/>
        </w:rPr>
        <w:t xml:space="preserve"> </w:t>
      </w:r>
      <w:hyperlink r:id="rId5" w:history="1">
        <w:r w:rsidRPr="00AF3224">
          <w:rPr>
            <w:rStyle w:val="a3"/>
            <w:rFonts w:eastAsia="Times New Roman"/>
            <w:szCs w:val="24"/>
            <w:lang w:val="en-US" w:eastAsia="ru-RU"/>
          </w:rPr>
          <w:t>EfremenkoTV@yanos.slavneft.ru</w:t>
        </w:r>
      </w:hyperlink>
    </w:p>
    <w:p w:rsidR="00023B38" w:rsidRPr="00023B38" w:rsidRDefault="00023B38" w:rsidP="00023B38">
      <w:pPr>
        <w:ind w:firstLine="708"/>
        <w:jc w:val="both"/>
        <w:rPr>
          <w:szCs w:val="24"/>
          <w:lang w:val="en-US" w:eastAsia="ru-RU"/>
        </w:rPr>
      </w:pPr>
    </w:p>
    <w:p w:rsidR="00023B38" w:rsidRPr="00023B38" w:rsidRDefault="00023B38" w:rsidP="00023B38">
      <w:pPr>
        <w:ind w:firstLine="708"/>
        <w:jc w:val="both"/>
        <w:rPr>
          <w:szCs w:val="24"/>
          <w:lang w:eastAsia="ru-RU"/>
        </w:rPr>
      </w:pPr>
      <w:r w:rsidRPr="00023B38">
        <w:rPr>
          <w:szCs w:val="24"/>
          <w:lang w:eastAsia="ru-RU"/>
        </w:rPr>
        <w:t>По вопросам организационного характера обращаться:</w:t>
      </w:r>
    </w:p>
    <w:p w:rsidR="00023B38" w:rsidRPr="00023B38" w:rsidRDefault="00023B38" w:rsidP="00023B38">
      <w:pPr>
        <w:ind w:firstLine="708"/>
        <w:jc w:val="both"/>
        <w:rPr>
          <w:szCs w:val="24"/>
          <w:lang w:eastAsia="ru-RU"/>
        </w:rPr>
      </w:pPr>
      <w:r w:rsidRPr="00023B38">
        <w:rPr>
          <w:szCs w:val="24"/>
          <w:lang w:eastAsia="ru-RU"/>
        </w:rPr>
        <w:t>Ануфриева Наталия Валерьевна телефон (4852) 49-80-55</w:t>
      </w:r>
    </w:p>
    <w:p w:rsidR="00023B38" w:rsidRDefault="00023B38" w:rsidP="00023B38">
      <w:pPr>
        <w:ind w:firstLine="708"/>
        <w:jc w:val="both"/>
        <w:rPr>
          <w:szCs w:val="24"/>
          <w:lang w:eastAsia="ru-RU"/>
        </w:rPr>
      </w:pPr>
      <w:hyperlink r:id="rId6" w:history="1">
        <w:r w:rsidRPr="00023B38">
          <w:rPr>
            <w:rStyle w:val="a3"/>
            <w:szCs w:val="24"/>
            <w:lang w:val="en-US" w:eastAsia="ru-RU"/>
          </w:rPr>
          <w:t>tender</w:t>
        </w:r>
        <w:r w:rsidRPr="00023B38">
          <w:rPr>
            <w:rStyle w:val="a3"/>
            <w:szCs w:val="24"/>
            <w:lang w:eastAsia="ru-RU"/>
          </w:rPr>
          <w:t>@yanos.slavneft.ru</w:t>
        </w:r>
      </w:hyperlink>
    </w:p>
    <w:p w:rsidR="00023B38" w:rsidRDefault="00023B38" w:rsidP="00023B38">
      <w:pPr>
        <w:ind w:firstLine="708"/>
        <w:jc w:val="both"/>
        <w:rPr>
          <w:szCs w:val="24"/>
          <w:lang w:eastAsia="ru-RU"/>
        </w:rPr>
      </w:pPr>
    </w:p>
    <w:p w:rsidR="00C72132" w:rsidRDefault="00C72132" w:rsidP="00023B3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7"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023B38" w:rsidRDefault="00023B38" w:rsidP="00C72132">
      <w:pPr>
        <w:ind w:firstLine="708"/>
        <w:jc w:val="both"/>
        <w:rPr>
          <w:rFonts w:eastAsia="Times New Roman"/>
          <w:b/>
          <w:szCs w:val="24"/>
          <w:u w:val="single"/>
          <w:lang w:eastAsia="ru-RU"/>
        </w:rPr>
      </w:pPr>
    </w:p>
    <w:p w:rsidR="00023B38" w:rsidRDefault="00023B38" w:rsidP="00C72132">
      <w:pPr>
        <w:ind w:firstLine="708"/>
        <w:jc w:val="both"/>
        <w:rPr>
          <w:rFonts w:eastAsia="Times New Roman"/>
          <w:b/>
          <w:szCs w:val="24"/>
          <w:u w:val="single"/>
          <w:lang w:eastAsia="ru-RU"/>
        </w:rPr>
      </w:pP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8"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Pr>
          <w:rFonts w:eastAsia="Times New Roman"/>
          <w:szCs w:val="24"/>
          <w:lang w:eastAsia="ru-RU"/>
        </w:rPr>
        <w:t>8</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sidR="00957515">
        <w:rPr>
          <w:szCs w:val="24"/>
        </w:rPr>
        <w:t>5</w:t>
      </w:r>
      <w:r w:rsidRPr="00BB45CB">
        <w:rPr>
          <w:szCs w:val="24"/>
        </w:rPr>
        <w:t xml:space="preserve"> л. в 1 экз.</w:t>
      </w:r>
    </w:p>
    <w:p w:rsidR="00C72132" w:rsidRDefault="006E71B3" w:rsidP="00C72132">
      <w:pPr>
        <w:rPr>
          <w:szCs w:val="24"/>
        </w:rPr>
      </w:pPr>
      <w:r>
        <w:rPr>
          <w:szCs w:val="24"/>
        </w:rPr>
        <w:t>3</w:t>
      </w:r>
      <w:r w:rsidR="00C72132" w:rsidRPr="00BB45CB">
        <w:rPr>
          <w:szCs w:val="24"/>
        </w:rPr>
        <w:t xml:space="preserve">. </w:t>
      </w:r>
      <w:r w:rsidR="00C72132">
        <w:rPr>
          <w:szCs w:val="24"/>
        </w:rPr>
        <w:t>Форма 3 «</w:t>
      </w:r>
      <w:r w:rsidR="00C72132" w:rsidRPr="00BB45CB">
        <w:rPr>
          <w:szCs w:val="24"/>
        </w:rPr>
        <w:t>Проект договора</w:t>
      </w:r>
      <w:r w:rsidR="00C72132">
        <w:rPr>
          <w:szCs w:val="24"/>
        </w:rPr>
        <w:t xml:space="preserve">, </w:t>
      </w:r>
      <w:r w:rsidR="00C72132" w:rsidRPr="00BB45CB">
        <w:rPr>
          <w:szCs w:val="24"/>
        </w:rPr>
        <w:t>приложения</w:t>
      </w:r>
      <w:r w:rsidR="00C72132">
        <w:rPr>
          <w:szCs w:val="24"/>
        </w:rPr>
        <w:t>»</w:t>
      </w:r>
      <w:r w:rsidR="00C72132" w:rsidRPr="00BB45CB">
        <w:rPr>
          <w:szCs w:val="24"/>
        </w:rPr>
        <w:t xml:space="preserve"> на </w:t>
      </w:r>
      <w:r w:rsidR="00B2793B">
        <w:rPr>
          <w:szCs w:val="24"/>
        </w:rPr>
        <w:t>14</w:t>
      </w:r>
      <w:r w:rsidR="00C72132" w:rsidRPr="00BB45CB">
        <w:rPr>
          <w:szCs w:val="24"/>
        </w:rPr>
        <w:t xml:space="preserve"> л. в 1 экз.</w:t>
      </w:r>
    </w:p>
    <w:p w:rsidR="00C72132" w:rsidRPr="00BB45CB" w:rsidRDefault="006E71B3" w:rsidP="00C72132">
      <w:pPr>
        <w:rPr>
          <w:szCs w:val="24"/>
        </w:rPr>
      </w:pPr>
      <w:r>
        <w:rPr>
          <w:szCs w:val="24"/>
        </w:rPr>
        <w:t>4</w:t>
      </w:r>
      <w:r w:rsidR="00C72132" w:rsidRPr="00BB45CB">
        <w:rPr>
          <w:szCs w:val="24"/>
        </w:rPr>
        <w:t xml:space="preserve">. </w:t>
      </w:r>
      <w:r w:rsidR="00C72132">
        <w:rPr>
          <w:szCs w:val="24"/>
        </w:rPr>
        <w:t>Форма 4 «</w:t>
      </w:r>
      <w:r w:rsidR="00C72132" w:rsidRPr="00BB45CB">
        <w:rPr>
          <w:szCs w:val="24"/>
        </w:rPr>
        <w:t xml:space="preserve">Извещение о согласии сделать </w:t>
      </w:r>
      <w:proofErr w:type="gramStart"/>
      <w:r w:rsidR="00C72132" w:rsidRPr="00BB45CB">
        <w:rPr>
          <w:szCs w:val="24"/>
        </w:rPr>
        <w:t>оферту</w:t>
      </w:r>
      <w:r w:rsidR="00C72132">
        <w:rPr>
          <w:szCs w:val="24"/>
        </w:rPr>
        <w:t>»</w:t>
      </w:r>
      <w:r w:rsidR="00C72132" w:rsidRPr="00BB45CB">
        <w:rPr>
          <w:szCs w:val="24"/>
        </w:rPr>
        <w:t xml:space="preserve">  на</w:t>
      </w:r>
      <w:proofErr w:type="gramEnd"/>
      <w:r w:rsidR="00C72132" w:rsidRPr="00BB45CB">
        <w:rPr>
          <w:szCs w:val="24"/>
        </w:rPr>
        <w:t xml:space="preserve"> </w:t>
      </w:r>
      <w:r w:rsidR="00C72132">
        <w:rPr>
          <w:szCs w:val="24"/>
        </w:rPr>
        <w:t>1</w:t>
      </w:r>
      <w:r w:rsidR="00C72132" w:rsidRPr="00BB45CB">
        <w:rPr>
          <w:szCs w:val="24"/>
        </w:rPr>
        <w:t xml:space="preserve"> л. в 1 экз.</w:t>
      </w:r>
    </w:p>
    <w:p w:rsidR="00C72132" w:rsidRPr="00BB45CB" w:rsidRDefault="006E71B3" w:rsidP="00C72132">
      <w:pPr>
        <w:rPr>
          <w:szCs w:val="24"/>
        </w:rPr>
      </w:pPr>
      <w:r>
        <w:rPr>
          <w:szCs w:val="24"/>
        </w:rPr>
        <w:t>5</w:t>
      </w:r>
      <w:r w:rsidR="00C72132" w:rsidRPr="00BB45CB">
        <w:rPr>
          <w:szCs w:val="24"/>
        </w:rPr>
        <w:t xml:space="preserve">. </w:t>
      </w:r>
      <w:r w:rsidR="00C72132">
        <w:rPr>
          <w:szCs w:val="24"/>
        </w:rPr>
        <w:t>Форма 5 «</w:t>
      </w:r>
      <w:r w:rsidR="00C72132" w:rsidRPr="00BB45CB">
        <w:rPr>
          <w:szCs w:val="24"/>
        </w:rPr>
        <w:t>Предложение о заключении договора</w:t>
      </w:r>
      <w:r w:rsidR="00C72132">
        <w:rPr>
          <w:szCs w:val="24"/>
        </w:rPr>
        <w:t>»</w:t>
      </w:r>
      <w:r w:rsidR="00C72132" w:rsidRPr="00BB45CB">
        <w:rPr>
          <w:szCs w:val="24"/>
        </w:rPr>
        <w:t xml:space="preserve"> на </w:t>
      </w:r>
      <w:r w:rsidR="00C72132">
        <w:rPr>
          <w:szCs w:val="24"/>
        </w:rPr>
        <w:t>2</w:t>
      </w:r>
      <w:r w:rsidR="00C72132" w:rsidRPr="00BB45CB">
        <w:rPr>
          <w:szCs w:val="24"/>
        </w:rPr>
        <w:t xml:space="preserve"> л. в 1 экз.</w:t>
      </w:r>
    </w:p>
    <w:p w:rsidR="00C72132" w:rsidRDefault="006E71B3" w:rsidP="00C72132">
      <w:pPr>
        <w:rPr>
          <w:szCs w:val="24"/>
        </w:rPr>
      </w:pPr>
      <w:r>
        <w:rPr>
          <w:szCs w:val="24"/>
        </w:rPr>
        <w:t>6</w:t>
      </w:r>
      <w:r w:rsidR="00C72132" w:rsidRPr="00BB45CB">
        <w:rPr>
          <w:szCs w:val="24"/>
        </w:rPr>
        <w:t xml:space="preserve">. Форма </w:t>
      </w:r>
      <w:r w:rsidR="00C72132">
        <w:rPr>
          <w:szCs w:val="24"/>
        </w:rPr>
        <w:t>6т «Техническое предложение» на 1</w:t>
      </w:r>
      <w:r w:rsidR="00C72132" w:rsidRPr="00BB45CB">
        <w:rPr>
          <w:szCs w:val="24"/>
        </w:rPr>
        <w:t xml:space="preserve"> л. в 1 экз.</w:t>
      </w:r>
    </w:p>
    <w:p w:rsidR="00C72132" w:rsidRPr="00BB45CB" w:rsidRDefault="006E71B3" w:rsidP="00C72132">
      <w:pPr>
        <w:rPr>
          <w:szCs w:val="24"/>
        </w:rPr>
      </w:pPr>
      <w:r>
        <w:rPr>
          <w:szCs w:val="24"/>
        </w:rPr>
        <w:t>7</w:t>
      </w:r>
      <w:r w:rsidR="00C72132">
        <w:rPr>
          <w:szCs w:val="24"/>
        </w:rPr>
        <w:t>. Форма 6к «Коммерческое предложение» на 1 л. в 1 экз.</w:t>
      </w:r>
    </w:p>
    <w:p w:rsidR="00C72132" w:rsidRDefault="006E71B3" w:rsidP="00C72132">
      <w:pPr>
        <w:jc w:val="both"/>
        <w:rPr>
          <w:szCs w:val="24"/>
        </w:rPr>
      </w:pPr>
      <w:r>
        <w:rPr>
          <w:szCs w:val="24"/>
        </w:rPr>
        <w:t>8</w:t>
      </w:r>
      <w:r w:rsidR="00C72132" w:rsidRPr="00BB45CB">
        <w:rPr>
          <w:szCs w:val="24"/>
        </w:rPr>
        <w:t xml:space="preserve">. Форма </w:t>
      </w:r>
      <w:r w:rsidR="00C72132">
        <w:rPr>
          <w:szCs w:val="24"/>
        </w:rPr>
        <w:t xml:space="preserve">7 </w:t>
      </w:r>
      <w:r w:rsidR="00C72132"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Pr>
          <w:rFonts w:eastAsia="Times New Roman"/>
          <w:szCs w:val="24"/>
          <w:u w:val="single"/>
          <w:lang w:eastAsia="ru-RU"/>
        </w:rPr>
        <w:t>Д.Ю.Уржумов</w:t>
      </w:r>
      <w:proofErr w:type="spellEnd"/>
      <w:proofErr w:type="gramEnd"/>
    </w:p>
    <w:p w:rsidR="00C21FA1" w:rsidRDefault="00C72132" w:rsidP="00957515">
      <w:pPr>
        <w:ind w:left="4956" w:firstLine="708"/>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rsidSect="00023B38">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23B38"/>
    <w:rsid w:val="0007509F"/>
    <w:rsid w:val="003B7193"/>
    <w:rsid w:val="004B5D2D"/>
    <w:rsid w:val="006E71B3"/>
    <w:rsid w:val="00957515"/>
    <w:rsid w:val="00A1250B"/>
    <w:rsid w:val="00B2793B"/>
    <w:rsid w:val="00C72132"/>
    <w:rsid w:val="00CE4D5D"/>
    <w:rsid w:val="00E00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nder@yanos.slavneft.ru" TargetMode="External"/><Relationship Id="rId5" Type="http://schemas.openxmlformats.org/officeDocument/2006/relationships/hyperlink" Target="mailto:EfremenkoTV@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2734</Words>
  <Characters>15584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Прокофьев Олег Викторович</cp:lastModifiedBy>
  <cp:revision>8</cp:revision>
  <cp:lastPrinted>2018-06-05T13:41:00Z</cp:lastPrinted>
  <dcterms:created xsi:type="dcterms:W3CDTF">2018-05-31T14:51:00Z</dcterms:created>
  <dcterms:modified xsi:type="dcterms:W3CDTF">2018-07-25T08:05:00Z</dcterms:modified>
</cp:coreProperties>
</file>