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721F0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289585429"/>
              <w:placeholder>
                <w:docPart w:val="2EBD083CA70A49C78BBF0C7AB2A64387"/>
              </w:placeholder>
            </w:sdtPr>
            <w:sdtEndPr/>
            <w:sdtContent>
              <w:r w:rsidR="00C05FA7">
                <w:rPr>
                  <w:rFonts w:ascii="Times New Roman" w:hAnsi="Times New Roman"/>
                  <w:b/>
                  <w:sz w:val="23"/>
                  <w:szCs w:val="23"/>
                </w:rPr>
                <w:t>выполнению</w:t>
              </w:r>
              <w:r w:rsidR="00C05FA7" w:rsidRPr="00F70459">
                <w:rPr>
                  <w:rFonts w:ascii="Times New Roman" w:hAnsi="Times New Roman"/>
                  <w:b/>
                  <w:sz w:val="23"/>
                  <w:szCs w:val="23"/>
                </w:rPr>
                <w:t xml:space="preserve"> работ по химической очистке (промывке) внутренних поверхностей нагрева </w:t>
              </w:r>
              <w:proofErr w:type="spellStart"/>
              <w:r w:rsidR="00C05FA7" w:rsidRPr="00F70459">
                <w:rPr>
                  <w:rFonts w:ascii="Times New Roman" w:hAnsi="Times New Roman"/>
                  <w:b/>
                  <w:sz w:val="23"/>
                  <w:szCs w:val="23"/>
                </w:rPr>
                <w:t>парогенерирующего</w:t>
              </w:r>
              <w:proofErr w:type="spellEnd"/>
              <w:r w:rsidR="00C05FA7" w:rsidRPr="00F70459">
                <w:rPr>
                  <w:rFonts w:ascii="Times New Roman" w:hAnsi="Times New Roman"/>
                  <w:b/>
                  <w:sz w:val="23"/>
                  <w:szCs w:val="23"/>
                </w:rPr>
                <w:t xml:space="preserve"> оборудования </w:t>
              </w:r>
              <w:r w:rsidR="00C05FA7">
                <w:rPr>
                  <w:rFonts w:ascii="Times New Roman" w:hAnsi="Times New Roman"/>
                  <w:b/>
                  <w:sz w:val="23"/>
                  <w:szCs w:val="23"/>
                </w:rPr>
                <w:t>ОАО «</w:t>
              </w:r>
              <w:proofErr w:type="spellStart"/>
              <w:r w:rsidR="00C05FA7">
                <w:rPr>
                  <w:rFonts w:ascii="Times New Roman" w:hAnsi="Times New Roman"/>
                  <w:b/>
                  <w:sz w:val="23"/>
                  <w:szCs w:val="23"/>
                </w:rPr>
                <w:t>Славнефть</w:t>
              </w:r>
              <w:proofErr w:type="spellEnd"/>
              <w:r w:rsidR="00C05FA7">
                <w:rPr>
                  <w:rFonts w:ascii="Times New Roman" w:hAnsi="Times New Roman"/>
                  <w:b/>
                  <w:sz w:val="23"/>
                  <w:szCs w:val="23"/>
                </w:rPr>
                <w:t>–ЯНОС»</w:t>
              </w:r>
              <w:r w:rsidR="00C05FA7" w:rsidRPr="00F70459">
                <w:rPr>
                  <w:rFonts w:ascii="Times New Roman" w:hAnsi="Times New Roman"/>
                  <w:b/>
                  <w:sz w:val="23"/>
                  <w:szCs w:val="23"/>
                </w:rPr>
                <w:t xml:space="preserve"> методом щелочения </w:t>
              </w:r>
              <w:r w:rsidR="00C05FA7" w:rsidRPr="00F70459">
                <w:rPr>
                  <w:rFonts w:ascii="Times New Roman" w:hAnsi="Times New Roman"/>
                  <w:sz w:val="23"/>
                  <w:szCs w:val="23"/>
                </w:rPr>
                <w:t>в соответствии с Техническим заданием Заказчика</w:t>
              </w:r>
              <w:r w:rsidR="00C05FA7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id w:val="-524086114"/>
            <w:placeholder>
              <w:docPart w:val="6D6E21F3B07A4B78BD2D763DA180EC77"/>
            </w:placeholder>
          </w:sdtPr>
          <w:sdtEndPr/>
          <w:sdtContent>
            <w:p w:rsidR="004E2F72" w:rsidRPr="00C05FA7" w:rsidRDefault="00C05FA7" w:rsidP="00C05FA7">
              <w:pPr>
                <w:spacing w:before="0"/>
                <w:jc w:val="both"/>
              </w:pPr>
              <w:r>
                <w:t xml:space="preserve">          1.2. 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>Виды</w:t>
              </w:r>
              <w:r>
                <w:rPr>
                  <w:rFonts w:ascii="Times New Roman" w:hAnsi="Times New Roman"/>
                  <w:sz w:val="23"/>
                  <w:szCs w:val="23"/>
                </w:rPr>
                <w:t>,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выполняемых Подрядчиком работ</w:t>
              </w:r>
              <w:r>
                <w:rPr>
                  <w:rFonts w:ascii="Times New Roman" w:hAnsi="Times New Roman"/>
                  <w:sz w:val="23"/>
                  <w:szCs w:val="23"/>
                </w:rPr>
                <w:t>,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указаны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в </w:t>
              </w:r>
              <w:proofErr w:type="spellStart"/>
              <w:r>
                <w:rPr>
                  <w:rFonts w:ascii="Times New Roman" w:hAnsi="Times New Roman"/>
                  <w:sz w:val="23"/>
                  <w:szCs w:val="23"/>
                </w:rPr>
                <w:t>Техничеком</w:t>
              </w:r>
              <w:proofErr w:type="spellEnd"/>
              <w:r>
                <w:rPr>
                  <w:rFonts w:ascii="Times New Roman" w:hAnsi="Times New Roman"/>
                  <w:sz w:val="23"/>
                  <w:szCs w:val="23"/>
                </w:rPr>
                <w:t xml:space="preserve"> задании (приложение № 1 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>к настоящему договору</w:t>
              </w:r>
              <w:r>
                <w:rPr>
                  <w:rFonts w:ascii="Times New Roman" w:hAnsi="Times New Roman"/>
                  <w:sz w:val="23"/>
                  <w:szCs w:val="23"/>
                </w:rPr>
                <w:t>)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987229585"/>
              <w:placeholder>
                <w:docPart w:val="A7B056CD84DE41FEB33FA35D20019609"/>
              </w:placeholder>
            </w:sdtPr>
            <w:sdtEndPr/>
            <w:sdtContent>
              <w:r w:rsidR="00C05FA7">
                <w:rPr>
                  <w:rFonts w:ascii="Times New Roman" w:hAnsi="Times New Roman"/>
                  <w:sz w:val="23"/>
                  <w:szCs w:val="23"/>
                </w:rPr>
                <w:t>на основании Технического задания Заказчика (приложение № 1 к настоящему Договору)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564033179"/>
            <w:placeholder>
              <w:docPart w:val="C2054D56E2F94005B23E149B168AEA34"/>
            </w:placeholder>
          </w:sdtPr>
          <w:sdtEndPr/>
          <w:sdtContent>
            <w:p w:rsidR="00C05FA7" w:rsidRDefault="00C05FA7" w:rsidP="00C05FA7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Начало работ </w:t>
              </w:r>
              <w:r>
                <w:rPr>
                  <w:rFonts w:ascii="Times New Roman" w:hAnsi="Times New Roman"/>
                  <w:sz w:val="23"/>
                  <w:szCs w:val="23"/>
                </w:rPr>
                <w:t>–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с даты подписания договора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p>
          </w:sdtContent>
        </w:sdt>
        <w:sdt>
          <w:sdtPr>
            <w:rPr>
              <w:rFonts w:ascii="Times New Roman" w:hAnsi="Times New Roman"/>
              <w:sz w:val="23"/>
              <w:szCs w:val="23"/>
            </w:rPr>
            <w:id w:val="-1417392671"/>
            <w:placeholder>
              <w:docPart w:val="69A3336C0DEE4049B97B7994B3A4BE2E"/>
            </w:placeholder>
          </w:sdtPr>
          <w:sdtEndPr/>
          <w:sdtContent>
            <w:p w:rsidR="004E2F72" w:rsidRPr="00C05FA7" w:rsidRDefault="00C05FA7" w:rsidP="00C05FA7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О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кончание работ </w:t>
              </w:r>
              <w:r>
                <w:rPr>
                  <w:rFonts w:ascii="Times New Roman" w:hAnsi="Times New Roman"/>
                  <w:sz w:val="23"/>
                  <w:szCs w:val="23"/>
                </w:rPr>
                <w:t>–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не позднее 30.06.2018 г., в соответствии с Календарным планом 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>(Приложение №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 2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к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настоящему 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>Договору</w:t>
              </w:r>
              <w:r>
                <w:rPr>
                  <w:rFonts w:ascii="Times New Roman" w:hAnsi="Times New Roman"/>
                  <w:sz w:val="23"/>
                  <w:szCs w:val="23"/>
                </w:rPr>
                <w:t>).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721F0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C05FA7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05FA7" w:rsidP="00C05FA7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FFFFFF" w:themeColor="background1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C05FA7" w:rsidP="00C05FA7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C05FA7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C05FA7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настоящему договору не предоставляется</w:t>
          </w:r>
          <w:r w:rsidR="00107864"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3"/>
        </w:p>
        <w:p w:rsidR="001B5158" w:rsidRPr="00AF1246" w:rsidRDefault="00721F09" w:rsidP="00C05FA7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Материалы и оборудование при поступлении на ОАО «Славнефть-ЯНОС» проходят входной контроль согласно </w:t>
      </w:r>
      <w:proofErr w:type="gramStart"/>
      <w:r w:rsidRPr="00AF1246">
        <w:rPr>
          <w:sz w:val="23"/>
          <w:szCs w:val="23"/>
        </w:rPr>
        <w:t>требованиям</w:t>
      </w:r>
      <w:proofErr w:type="gramEnd"/>
      <w:r w:rsidRPr="00AF1246">
        <w:rPr>
          <w:sz w:val="23"/>
          <w:szCs w:val="23"/>
        </w:rPr>
        <w:t xml:space="preserve">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C05FA7">
            <w:rPr>
              <w:sz w:val="23"/>
              <w:szCs w:val="23"/>
            </w:rPr>
            <w:t xml:space="preserve"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давлением», </w:t>
          </w:r>
          <w:proofErr w:type="spellStart"/>
          <w:r w:rsidR="00C05FA7">
            <w:rPr>
              <w:sz w:val="23"/>
              <w:szCs w:val="23"/>
            </w:rPr>
            <w:t>загеристрированы</w:t>
          </w:r>
          <w:proofErr w:type="spellEnd"/>
          <w:r w:rsidR="00C05FA7">
            <w:rPr>
              <w:sz w:val="23"/>
              <w:szCs w:val="23"/>
            </w:rPr>
            <w:t xml:space="preserve"> за № 32326 от 19.05</w:t>
          </w:r>
          <w:r w:rsidR="00C05FA7" w:rsidRPr="00AF1246">
            <w:rPr>
              <w:sz w:val="23"/>
              <w:szCs w:val="23"/>
            </w:rPr>
            <w:t>.</w:t>
          </w:r>
          <w:r w:rsidR="00C05FA7">
            <w:rPr>
              <w:sz w:val="23"/>
              <w:szCs w:val="23"/>
            </w:rPr>
            <w:t xml:space="preserve">2014 г. Минюстом России и утверждённые Приказом № 116 от 25.05.2014 г. </w:t>
          </w:r>
          <w:proofErr w:type="spellStart"/>
          <w:r w:rsidR="00C05FA7">
            <w:rPr>
              <w:sz w:val="23"/>
              <w:szCs w:val="23"/>
            </w:rPr>
            <w:t>ФСЭТиАН</w:t>
          </w:r>
          <w:proofErr w:type="spellEnd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производство работ в полном соответствии с условиями договора и </w:t>
      </w:r>
      <w:proofErr w:type="gramStart"/>
      <w:r w:rsidRPr="00AF1246">
        <w:rPr>
          <w:rFonts w:ascii="Times New Roman" w:hAnsi="Times New Roman"/>
          <w:sz w:val="23"/>
          <w:szCs w:val="23"/>
        </w:rPr>
        <w:t>действующими нормами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05FA7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bookmarkStart w:id="7" w:name="_GoBack"/>
          <w:bookmarkEnd w:id="7"/>
          <w:r w:rsidR="00C05FA7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721F09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иных, не зависящих от Подрядчика обстоятельств, </w:t>
      </w:r>
      <w:proofErr w:type="gramStart"/>
      <w:r w:rsidRPr="00AF1246">
        <w:rPr>
          <w:rFonts w:ascii="Times New Roman" w:hAnsi="Times New Roman"/>
          <w:sz w:val="23"/>
          <w:szCs w:val="23"/>
        </w:rPr>
        <w:t>угрожающих годности результатов выполняемой работы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C05FA7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AF1246">
        <w:rPr>
          <w:rFonts w:ascii="Times New Roman" w:hAnsi="Times New Roman"/>
          <w:sz w:val="23"/>
          <w:szCs w:val="23"/>
        </w:rPr>
        <w:t>нарушения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</w:t>
      </w:r>
      <w:proofErr w:type="gramStart"/>
      <w:r w:rsidRPr="00AF1246">
        <w:rPr>
          <w:rFonts w:ascii="Times New Roman" w:hAnsi="Times New Roman"/>
          <w:sz w:val="23"/>
          <w:szCs w:val="23"/>
        </w:rPr>
        <w:t>видам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>на основании согласованного сторонами расчёта стоимости работ.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</w:t>
      </w:r>
      <w:r w:rsidRPr="00AF1246">
        <w:rPr>
          <w:rFonts w:ascii="Times New Roman" w:hAnsi="Times New Roman"/>
          <w:sz w:val="23"/>
          <w:szCs w:val="23"/>
        </w:rPr>
        <w:lastRenderedPageBreak/>
        <w:t>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2068147138"/>
              <w:placeholder>
                <w:docPart w:val="A238BA13218E4A3997DF0F616AD3C386"/>
              </w:placeholder>
            </w:sdtPr>
            <w:sdtEndPr/>
            <w:sdtContent>
              <w:r w:rsidR="00C05FA7">
                <w:rPr>
                  <w:rFonts w:ascii="Times New Roman" w:hAnsi="Times New Roman"/>
                  <w:sz w:val="23"/>
                  <w:szCs w:val="23"/>
                </w:rPr>
                <w:t>приёмке выполненных работ.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</w:t>
          </w:r>
          <w:bookmarkEnd w:id="13"/>
          <w:r w:rsidR="00C05FA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7A58DA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AF1246">
        <w:rPr>
          <w:rFonts w:ascii="Times New Roman" w:hAnsi="Times New Roman"/>
          <w:sz w:val="23"/>
          <w:szCs w:val="23"/>
        </w:rPr>
        <w:t>прямо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</w:t>
      </w:r>
      <w:r w:rsidRPr="00AF1246">
        <w:rPr>
          <w:sz w:val="23"/>
          <w:szCs w:val="23"/>
        </w:rPr>
        <w:lastRenderedPageBreak/>
        <w:t>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740793615"/>
              <w:placeholder>
                <w:docPart w:val="29260C6DECE64A89BE0EE2DF08E43B12"/>
              </w:placeholder>
            </w:sdtPr>
            <w:sdtEndPr/>
            <w:sdtContent>
              <w:r w:rsidR="00FF7E8A">
                <w:rPr>
                  <w:sz w:val="23"/>
                  <w:szCs w:val="23"/>
                </w:rPr>
                <w:t>30.06.2018 г.</w:t>
              </w:r>
              <w:r w:rsidR="00FF7E8A" w:rsidRPr="00AF1246">
                <w:rPr>
                  <w:sz w:val="23"/>
                  <w:szCs w:val="23"/>
                </w:rPr>
                <w:t>, по расчетам до полного их урегулирования.</w:t>
              </w:r>
            </w:sdtContent>
          </w:sdt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2029242713"/>
            <w:placeholder>
              <w:docPart w:val="F112B9A49128461A86A90EEFC755EFE1"/>
            </w:placeholder>
          </w:sdtPr>
          <w:sdtEndPr>
            <w:rPr>
              <w:color w:val="auto"/>
            </w:rPr>
          </w:sdtEndPr>
          <w:sdtContent>
            <w:p w:rsidR="00FF7E8A" w:rsidRPr="00FF7E8A" w:rsidRDefault="00FF7E8A" w:rsidP="00FF7E8A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FF7E8A">
                <w:rPr>
                  <w:rFonts w:ascii="Times New Roman" w:hAnsi="Times New Roman"/>
                  <w:color w:val="000000"/>
                  <w:sz w:val="23"/>
                  <w:szCs w:val="23"/>
                </w:rPr>
                <w:t>1. Техническое задание.</w:t>
              </w:r>
            </w:p>
            <w:p w:rsidR="00FF7E8A" w:rsidRPr="00FF7E8A" w:rsidRDefault="00FF7E8A" w:rsidP="00FF7E8A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FF7E8A">
                <w:rPr>
                  <w:rFonts w:ascii="Times New Roman" w:hAnsi="Times New Roman"/>
                  <w:color w:val="000000"/>
                  <w:sz w:val="23"/>
                  <w:szCs w:val="23"/>
                </w:rPr>
                <w:t>2. Календарный план.</w:t>
              </w:r>
            </w:p>
            <w:p w:rsidR="001B5158" w:rsidRPr="00FF7E8A" w:rsidRDefault="00FF7E8A" w:rsidP="00FF7E8A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FF7E8A">
                <w:rPr>
                  <w:rFonts w:ascii="Times New Roman" w:hAnsi="Times New Roman"/>
                  <w:color w:val="000000"/>
                  <w:sz w:val="23"/>
                  <w:szCs w:val="23"/>
                </w:rPr>
                <w:t>3. Шкала штрафных санкций в области ПБ, ОТ и ОС.</w:t>
              </w:r>
            </w:p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F09" w:rsidRDefault="00721F09" w:rsidP="00D736E8">
      <w:pPr>
        <w:spacing w:before="0"/>
      </w:pPr>
      <w:r>
        <w:separator/>
      </w:r>
    </w:p>
  </w:endnote>
  <w:endnote w:type="continuationSeparator" w:id="0">
    <w:p w:rsidR="00721F09" w:rsidRDefault="00721F09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4C6">
          <w:rPr>
            <w:noProof/>
          </w:rPr>
          <w:t>3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F09" w:rsidRDefault="00721F09" w:rsidP="00D736E8">
      <w:pPr>
        <w:spacing w:before="0"/>
      </w:pPr>
      <w:r>
        <w:separator/>
      </w:r>
    </w:p>
  </w:footnote>
  <w:footnote w:type="continuationSeparator" w:id="0">
    <w:p w:rsidR="00721F09" w:rsidRDefault="00721F09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JIKxR0MLKR/WvVI4Vkje+OjH0av2FGldrGw1ZRtZMW1V3aLg3CcTW4GRxJiAYK/t0FVFqFYNjYPPMoL6lcqBQ==" w:salt="j8YDvwSm+XdiP9SIwNHPV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652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569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1F09"/>
    <w:rsid w:val="00724D87"/>
    <w:rsid w:val="007256E0"/>
    <w:rsid w:val="00763E4D"/>
    <w:rsid w:val="007A171D"/>
    <w:rsid w:val="007A58DA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431EF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D2C33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3F53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5FA7"/>
    <w:rsid w:val="00C0682F"/>
    <w:rsid w:val="00C36190"/>
    <w:rsid w:val="00C46057"/>
    <w:rsid w:val="00C67B63"/>
    <w:rsid w:val="00C879A2"/>
    <w:rsid w:val="00C954C6"/>
    <w:rsid w:val="00C974D0"/>
    <w:rsid w:val="00CA203F"/>
    <w:rsid w:val="00CC40E7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29E6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A3BA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BD083CA70A49C78BBF0C7AB2A643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7C6C92-ACB3-4A76-AFFC-5908389832D9}"/>
      </w:docPartPr>
      <w:docPartBody>
        <w:p w:rsidR="00305163" w:rsidRDefault="00F65D0E" w:rsidP="00F65D0E">
          <w:pPr>
            <w:pStyle w:val="2EBD083CA70A49C78BBF0C7AB2A6438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6E21F3B07A4B78BD2D763DA180EC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DCB500-0B11-4601-8B11-8BE611FA8AD5}"/>
      </w:docPartPr>
      <w:docPartBody>
        <w:p w:rsidR="00305163" w:rsidRDefault="00F65D0E" w:rsidP="00F65D0E">
          <w:pPr>
            <w:pStyle w:val="6D6E21F3B07A4B78BD2D763DA180EC7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B056CD84DE41FEB33FA35D20019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576C96-2CD3-4775-B308-412C3D9D05F4}"/>
      </w:docPartPr>
      <w:docPartBody>
        <w:p w:rsidR="00305163" w:rsidRDefault="00F65D0E" w:rsidP="00F65D0E">
          <w:pPr>
            <w:pStyle w:val="A7B056CD84DE41FEB33FA35D2001960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054D56E2F94005B23E149B168AEA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F2CBAA-0A04-476C-93A5-C2EFF55E089D}"/>
      </w:docPartPr>
      <w:docPartBody>
        <w:p w:rsidR="00305163" w:rsidRDefault="00F65D0E" w:rsidP="00F65D0E">
          <w:pPr>
            <w:pStyle w:val="C2054D56E2F94005B23E149B168AEA3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A3336C0DEE4049B97B7994B3A4BE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A1C308-2890-4765-91FB-0C09B3D62BEE}"/>
      </w:docPartPr>
      <w:docPartBody>
        <w:p w:rsidR="00305163" w:rsidRDefault="00F65D0E" w:rsidP="00F65D0E">
          <w:pPr>
            <w:pStyle w:val="69A3336C0DEE4049B97B7994B3A4BE2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38BA13218E4A3997DF0F616AD3C3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D9EC86-77F2-4C83-9A78-1BA018417A18}"/>
      </w:docPartPr>
      <w:docPartBody>
        <w:p w:rsidR="00305163" w:rsidRDefault="00F65D0E" w:rsidP="00F65D0E">
          <w:pPr>
            <w:pStyle w:val="A238BA13218E4A3997DF0F616AD3C386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260C6DECE64A89BE0EE2DF08E43B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7E1475-EEE8-43A2-A181-CF3EE9559F5C}"/>
      </w:docPartPr>
      <w:docPartBody>
        <w:p w:rsidR="00305163" w:rsidRDefault="00F65D0E" w:rsidP="00F65D0E">
          <w:pPr>
            <w:pStyle w:val="29260C6DECE64A89BE0EE2DF08E43B1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12B9A49128461A86A90EEFC755EF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1021E6-E241-4743-93B4-559657A87C59}"/>
      </w:docPartPr>
      <w:docPartBody>
        <w:p w:rsidR="00305163" w:rsidRDefault="00F65D0E" w:rsidP="00F65D0E">
          <w:pPr>
            <w:pStyle w:val="F112B9A49128461A86A90EEFC755EFE1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305163"/>
    <w:rsid w:val="00420DCB"/>
    <w:rsid w:val="004C6485"/>
    <w:rsid w:val="005217CE"/>
    <w:rsid w:val="005A4856"/>
    <w:rsid w:val="00620C59"/>
    <w:rsid w:val="00627FF0"/>
    <w:rsid w:val="00812A7D"/>
    <w:rsid w:val="00866220"/>
    <w:rsid w:val="008D6718"/>
    <w:rsid w:val="00961D88"/>
    <w:rsid w:val="009D01D3"/>
    <w:rsid w:val="009F44BC"/>
    <w:rsid w:val="00B0351D"/>
    <w:rsid w:val="00B06720"/>
    <w:rsid w:val="00B84BE3"/>
    <w:rsid w:val="00C06D7D"/>
    <w:rsid w:val="00C8059B"/>
    <w:rsid w:val="00CF03CB"/>
    <w:rsid w:val="00EA575C"/>
    <w:rsid w:val="00EB0223"/>
    <w:rsid w:val="00ED3806"/>
    <w:rsid w:val="00F03F6E"/>
    <w:rsid w:val="00F65D0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5D0E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2EBD083CA70A49C78BBF0C7AB2A64387">
    <w:name w:val="2EBD083CA70A49C78BBF0C7AB2A64387"/>
    <w:rsid w:val="00F65D0E"/>
    <w:pPr>
      <w:spacing w:after="160" w:line="259" w:lineRule="auto"/>
    </w:pPr>
  </w:style>
  <w:style w:type="paragraph" w:customStyle="1" w:styleId="9A223CA9D53440FAB744FC69A3A697D3">
    <w:name w:val="9A223CA9D53440FAB744FC69A3A697D3"/>
    <w:rsid w:val="00F65D0E"/>
    <w:pPr>
      <w:spacing w:after="160" w:line="259" w:lineRule="auto"/>
    </w:pPr>
  </w:style>
  <w:style w:type="paragraph" w:customStyle="1" w:styleId="BFB804504C9341FBA00FAE0B26CCA5E1">
    <w:name w:val="BFB804504C9341FBA00FAE0B26CCA5E1"/>
    <w:rsid w:val="00F65D0E"/>
    <w:pPr>
      <w:spacing w:after="160" w:line="259" w:lineRule="auto"/>
    </w:pPr>
  </w:style>
  <w:style w:type="paragraph" w:customStyle="1" w:styleId="4AD24DF27D29469AA182340340536290">
    <w:name w:val="4AD24DF27D29469AA182340340536290"/>
    <w:rsid w:val="00F65D0E"/>
    <w:pPr>
      <w:spacing w:after="160" w:line="259" w:lineRule="auto"/>
    </w:pPr>
  </w:style>
  <w:style w:type="paragraph" w:customStyle="1" w:styleId="6D6E21F3B07A4B78BD2D763DA180EC77">
    <w:name w:val="6D6E21F3B07A4B78BD2D763DA180EC77"/>
    <w:rsid w:val="00F65D0E"/>
    <w:pPr>
      <w:spacing w:after="160" w:line="259" w:lineRule="auto"/>
    </w:pPr>
  </w:style>
  <w:style w:type="paragraph" w:customStyle="1" w:styleId="A7B056CD84DE41FEB33FA35D20019609">
    <w:name w:val="A7B056CD84DE41FEB33FA35D20019609"/>
    <w:rsid w:val="00F65D0E"/>
    <w:pPr>
      <w:spacing w:after="160" w:line="259" w:lineRule="auto"/>
    </w:pPr>
  </w:style>
  <w:style w:type="paragraph" w:customStyle="1" w:styleId="C2054D56E2F94005B23E149B168AEA34">
    <w:name w:val="C2054D56E2F94005B23E149B168AEA34"/>
    <w:rsid w:val="00F65D0E"/>
    <w:pPr>
      <w:spacing w:after="160" w:line="259" w:lineRule="auto"/>
    </w:pPr>
  </w:style>
  <w:style w:type="paragraph" w:customStyle="1" w:styleId="69A3336C0DEE4049B97B7994B3A4BE2E">
    <w:name w:val="69A3336C0DEE4049B97B7994B3A4BE2E"/>
    <w:rsid w:val="00F65D0E"/>
    <w:pPr>
      <w:spacing w:after="160" w:line="259" w:lineRule="auto"/>
    </w:pPr>
  </w:style>
  <w:style w:type="paragraph" w:customStyle="1" w:styleId="A238BA13218E4A3997DF0F616AD3C386">
    <w:name w:val="A238BA13218E4A3997DF0F616AD3C386"/>
    <w:rsid w:val="00F65D0E"/>
    <w:pPr>
      <w:spacing w:after="160" w:line="259" w:lineRule="auto"/>
    </w:pPr>
  </w:style>
  <w:style w:type="paragraph" w:customStyle="1" w:styleId="29260C6DECE64A89BE0EE2DF08E43B12">
    <w:name w:val="29260C6DECE64A89BE0EE2DF08E43B12"/>
    <w:rsid w:val="00F65D0E"/>
    <w:pPr>
      <w:spacing w:after="160" w:line="259" w:lineRule="auto"/>
    </w:pPr>
  </w:style>
  <w:style w:type="paragraph" w:customStyle="1" w:styleId="F112B9A49128461A86A90EEFC755EFE1">
    <w:name w:val="F112B9A49128461A86A90EEFC755EFE1"/>
    <w:rsid w:val="00F65D0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DA48B-4D46-4BB7-A430-A9EF5F01C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5020</Words>
  <Characters>28616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4</cp:revision>
  <cp:lastPrinted>2015-12-03T06:22:00Z</cp:lastPrinted>
  <dcterms:created xsi:type="dcterms:W3CDTF">2018-01-12T08:01:00Z</dcterms:created>
  <dcterms:modified xsi:type="dcterms:W3CDTF">2018-01-12T09:29:00Z</dcterms:modified>
</cp:coreProperties>
</file>